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0D7D" w14:textId="1D939589" w:rsidR="004D21A8" w:rsidRPr="004D21A8" w:rsidRDefault="005046A8" w:rsidP="00D953E0">
      <w:pPr>
        <w:pStyle w:val="H1NoNumb"/>
        <w:jc w:val="center"/>
      </w:pPr>
      <w:bookmarkStart w:id="0" w:name="_Toc304199309"/>
      <w:r>
        <w:br/>
      </w:r>
      <w:r w:rsidRPr="004D21A8">
        <w:t xml:space="preserve">Meeting of the </w:t>
      </w:r>
      <w:r w:rsidR="000475CC">
        <w:t>Audit, Risk and Governance Committee</w:t>
      </w:r>
      <w:r w:rsidRPr="004D21A8">
        <w:br/>
        <w:t>(</w:t>
      </w:r>
      <w:r w:rsidR="000475CC">
        <w:t>29 January 2024</w:t>
      </w:r>
      <w:r w:rsidRPr="004D21A8">
        <w:t>)</w:t>
      </w:r>
      <w:bookmarkEnd w:id="0"/>
    </w:p>
    <w:p w14:paraId="14C631E1" w14:textId="77777777" w:rsidR="00C756A1" w:rsidRDefault="00C756A1" w:rsidP="00844118">
      <w:pPr>
        <w:rPr>
          <w:b/>
          <w:szCs w:val="22"/>
        </w:rPr>
      </w:pPr>
    </w:p>
    <w:p w14:paraId="7547F4F7" w14:textId="0C1851EB" w:rsidR="004D21A8" w:rsidRDefault="005046A8" w:rsidP="004D21A8">
      <w:pPr>
        <w:pStyle w:val="BodyText"/>
        <w:jc w:val="center"/>
      </w:pPr>
      <w:r w:rsidRPr="00D50DF0">
        <w:rPr>
          <w:b/>
        </w:rPr>
        <w:t>Chair:</w:t>
      </w:r>
      <w:r>
        <w:t xml:space="preserve"> </w:t>
      </w:r>
      <w:r w:rsidR="000475CC">
        <w:t xml:space="preserve">County Councillor Alan Schofield </w:t>
      </w:r>
    </w:p>
    <w:p w14:paraId="648DA635" w14:textId="77777777" w:rsidR="004D21A8" w:rsidRDefault="004D21A8" w:rsidP="004D21A8">
      <w:pPr>
        <w:pStyle w:val="BodyText"/>
      </w:pPr>
    </w:p>
    <w:p w14:paraId="292E3079" w14:textId="77777777" w:rsidR="004D21A8" w:rsidRDefault="005046A8" w:rsidP="004D21A8">
      <w:pPr>
        <w:pStyle w:val="H2NoNumb"/>
        <w:spacing w:before="0"/>
      </w:pPr>
      <w:r>
        <w:t>Part I (Open to Press and Public)</w:t>
      </w:r>
    </w:p>
    <w:p w14:paraId="6C06570A" w14:textId="77777777" w:rsidR="004D21A8" w:rsidRDefault="004D21A8" w:rsidP="004D21A8">
      <w:pPr>
        <w:pStyle w:val="BodyText"/>
      </w:pPr>
    </w:p>
    <w:p w14:paraId="4A46069B" w14:textId="32B5CAD7" w:rsidR="004D21A8" w:rsidRPr="0063105A" w:rsidRDefault="005046A8" w:rsidP="004D21A8">
      <w:pPr>
        <w:pStyle w:val="BodyText"/>
        <w:rPr>
          <w:b/>
          <w:bCs w:val="0"/>
        </w:rPr>
      </w:pPr>
      <w:r>
        <w:rPr>
          <w:b/>
        </w:rPr>
        <w:t>Treasury Management Activity 2023/24</w:t>
      </w:r>
    </w:p>
    <w:p w14:paraId="7B783867" w14:textId="77777777" w:rsidR="004D21A8" w:rsidRDefault="004D21A8" w:rsidP="004D21A8">
      <w:pPr>
        <w:pStyle w:val="BodyText"/>
      </w:pPr>
    </w:p>
    <w:p w14:paraId="36D00972" w14:textId="57250444" w:rsidR="004D21A8" w:rsidRDefault="005046A8" w:rsidP="004D21A8">
      <w:pPr>
        <w:pStyle w:val="BodyText"/>
      </w:pPr>
      <w:r w:rsidRPr="000475CC">
        <w:t>Mike Jensen, Director of Investment presented an overview of the council's treasury management activity for the period April to November 2023.</w:t>
      </w:r>
    </w:p>
    <w:p w14:paraId="69892975" w14:textId="77777777" w:rsidR="000475CC" w:rsidRDefault="000475CC" w:rsidP="004D21A8">
      <w:pPr>
        <w:pStyle w:val="BodyText"/>
      </w:pPr>
    </w:p>
    <w:p w14:paraId="53C57BFB" w14:textId="608AA1F5" w:rsidR="004D21A8" w:rsidRDefault="005046A8" w:rsidP="004D21A8">
      <w:pPr>
        <w:pStyle w:val="BodyText"/>
      </w:pPr>
      <w:r w:rsidRPr="00C025D5">
        <w:rPr>
          <w:b/>
        </w:rPr>
        <w:t>Resolved</w:t>
      </w:r>
      <w:r>
        <w:t xml:space="preserve">: </w:t>
      </w:r>
      <w:r w:rsidR="000475CC" w:rsidRPr="000475CC">
        <w:t>That the review of Treasury Management Activity 2023/24 be noted.</w:t>
      </w:r>
    </w:p>
    <w:p w14:paraId="5A323BC0" w14:textId="77777777" w:rsidR="004D21A8" w:rsidRDefault="004D21A8" w:rsidP="004D21A8">
      <w:pPr>
        <w:pStyle w:val="BodyText"/>
      </w:pPr>
    </w:p>
    <w:p w14:paraId="542B2059" w14:textId="3AC20667" w:rsidR="004D21A8" w:rsidRPr="0063105A" w:rsidRDefault="005046A8" w:rsidP="004D21A8">
      <w:pPr>
        <w:pStyle w:val="BodyText"/>
        <w:rPr>
          <w:b/>
          <w:bCs w:val="0"/>
        </w:rPr>
      </w:pPr>
      <w:r>
        <w:rPr>
          <w:b/>
        </w:rPr>
        <w:t>Treasury Management Strategy 2024/2</w:t>
      </w:r>
      <w:r>
        <w:rPr>
          <w:b/>
        </w:rPr>
        <w:t>5</w:t>
      </w:r>
    </w:p>
    <w:p w14:paraId="1584C9E1" w14:textId="77777777" w:rsidR="004D21A8" w:rsidRDefault="004D21A8" w:rsidP="004D21A8">
      <w:pPr>
        <w:pStyle w:val="BodyText"/>
      </w:pPr>
    </w:p>
    <w:p w14:paraId="4685BC9B" w14:textId="55620358" w:rsidR="004D21A8" w:rsidRDefault="005046A8" w:rsidP="004D21A8">
      <w:pPr>
        <w:pStyle w:val="BodyText"/>
      </w:pPr>
      <w:r w:rsidRPr="000475CC">
        <w:t>Mike Jensen, Director of Investment presented the proposed Treasury Management Strategy, Investment Strategy and Minimum Revenue Policy Statement for 2024/25.</w:t>
      </w:r>
    </w:p>
    <w:p w14:paraId="72C98663" w14:textId="77777777" w:rsidR="000475CC" w:rsidRPr="009F68C6" w:rsidRDefault="000475CC" w:rsidP="004D21A8">
      <w:pPr>
        <w:pStyle w:val="BodyText"/>
      </w:pPr>
    </w:p>
    <w:p w14:paraId="13A15B6E" w14:textId="53B665C2" w:rsidR="004D21A8" w:rsidRDefault="005046A8" w:rsidP="004D21A8">
      <w:pPr>
        <w:pStyle w:val="BodyText"/>
      </w:pPr>
      <w:r w:rsidRPr="00C025D5">
        <w:rPr>
          <w:b/>
        </w:rPr>
        <w:t>Resolved</w:t>
      </w:r>
      <w:r>
        <w:t xml:space="preserve">: </w:t>
      </w:r>
      <w:r w:rsidR="000475CC" w:rsidRPr="000475CC">
        <w:t>That the Full Council be recommended to approve the Treasury Management Strategy, Investment Strategy and Minimum Revenue Policy Statement for 2024/25.</w:t>
      </w:r>
    </w:p>
    <w:p w14:paraId="720D87FB" w14:textId="77777777" w:rsidR="000475CC" w:rsidRDefault="000475CC" w:rsidP="004D21A8">
      <w:pPr>
        <w:pStyle w:val="BodyText"/>
      </w:pPr>
    </w:p>
    <w:p w14:paraId="3FE628DB" w14:textId="12FF8FA5" w:rsidR="000475CC" w:rsidRDefault="005046A8" w:rsidP="004D21A8">
      <w:pPr>
        <w:pStyle w:val="BodyText"/>
        <w:rPr>
          <w:b/>
          <w:bCs w:val="0"/>
        </w:rPr>
      </w:pPr>
      <w:r w:rsidRPr="000475CC">
        <w:rPr>
          <w:b/>
          <w:bCs w:val="0"/>
        </w:rPr>
        <w:t>Significant Accounting Policies Used in the Preparation of the Council's Statement of Accounts 2023/24</w:t>
      </w:r>
    </w:p>
    <w:p w14:paraId="5150F5AF" w14:textId="77777777" w:rsidR="000475CC" w:rsidRDefault="000475CC" w:rsidP="004D21A8">
      <w:pPr>
        <w:pStyle w:val="BodyText"/>
        <w:rPr>
          <w:b/>
          <w:bCs w:val="0"/>
        </w:rPr>
      </w:pPr>
    </w:p>
    <w:p w14:paraId="2FB9DF5A" w14:textId="50CB2615" w:rsidR="000475CC" w:rsidRDefault="005046A8" w:rsidP="004D21A8">
      <w:pPr>
        <w:pStyle w:val="BodyText"/>
      </w:pPr>
      <w:r w:rsidRPr="000475CC">
        <w:t>Khadija Saeed, Head of Corporate Finance presented the accounting policies to be u</w:t>
      </w:r>
      <w:r w:rsidRPr="000475CC">
        <w:t>sed in preparing the council's 2023/24 Statement of Accounts.</w:t>
      </w:r>
    </w:p>
    <w:p w14:paraId="174E2420" w14:textId="77777777" w:rsidR="000475CC" w:rsidRDefault="000475CC" w:rsidP="004D21A8">
      <w:pPr>
        <w:pStyle w:val="BodyText"/>
      </w:pPr>
    </w:p>
    <w:p w14:paraId="65D1B479" w14:textId="01C22C00" w:rsidR="000475CC" w:rsidRDefault="005046A8" w:rsidP="004D21A8">
      <w:pPr>
        <w:pStyle w:val="BodyText"/>
      </w:pPr>
      <w:r>
        <w:rPr>
          <w:b/>
          <w:bCs w:val="0"/>
        </w:rPr>
        <w:t xml:space="preserve">Resolved: </w:t>
      </w:r>
      <w:r w:rsidRPr="000475CC">
        <w:t>That the accounting policies to be used in preparing the council's 2023/24 Statement of Accounts be approved.</w:t>
      </w:r>
    </w:p>
    <w:p w14:paraId="60A653D9" w14:textId="77777777" w:rsidR="000475CC" w:rsidRDefault="000475CC" w:rsidP="004D21A8">
      <w:pPr>
        <w:pStyle w:val="BodyText"/>
      </w:pPr>
    </w:p>
    <w:p w14:paraId="5311D688" w14:textId="5176B3D7" w:rsidR="000475CC" w:rsidRDefault="005046A8" w:rsidP="004D21A8">
      <w:pPr>
        <w:pStyle w:val="BodyText"/>
        <w:rPr>
          <w:b/>
          <w:bCs w:val="0"/>
        </w:rPr>
      </w:pPr>
      <w:r>
        <w:rPr>
          <w:b/>
          <w:bCs w:val="0"/>
        </w:rPr>
        <w:t>External Audit: Audit Progress Report and Sector Update</w:t>
      </w:r>
    </w:p>
    <w:p w14:paraId="5252B7DC" w14:textId="77777777" w:rsidR="000475CC" w:rsidRDefault="000475CC" w:rsidP="004D21A8">
      <w:pPr>
        <w:pStyle w:val="BodyText"/>
        <w:rPr>
          <w:b/>
          <w:bCs w:val="0"/>
        </w:rPr>
      </w:pPr>
    </w:p>
    <w:p w14:paraId="048B6A65" w14:textId="322031FA" w:rsidR="000475CC" w:rsidRDefault="005046A8" w:rsidP="004D21A8">
      <w:pPr>
        <w:pStyle w:val="BodyText"/>
      </w:pPr>
      <w:r w:rsidRPr="000475CC">
        <w:t>Stuart Basnett, Senior Audit Manager at Grant Thornton UK presented the Audit Progress Report and Sector Update as of January 2024.</w:t>
      </w:r>
    </w:p>
    <w:p w14:paraId="236A4670" w14:textId="77777777" w:rsidR="000475CC" w:rsidRDefault="000475CC" w:rsidP="004D21A8">
      <w:pPr>
        <w:pStyle w:val="BodyText"/>
      </w:pPr>
    </w:p>
    <w:p w14:paraId="570D53DD" w14:textId="3C50FD0E" w:rsidR="000475CC" w:rsidRDefault="005046A8" w:rsidP="004D21A8">
      <w:pPr>
        <w:pStyle w:val="BodyText"/>
      </w:pPr>
      <w:r>
        <w:rPr>
          <w:b/>
          <w:bCs w:val="0"/>
        </w:rPr>
        <w:t xml:space="preserve">Resolved: </w:t>
      </w:r>
      <w:r w:rsidRPr="000475CC">
        <w:t>That the Audit Progress Report and Sector Update for January 2024 be noted.</w:t>
      </w:r>
    </w:p>
    <w:p w14:paraId="111DA272" w14:textId="77777777" w:rsidR="000475CC" w:rsidRDefault="000475CC" w:rsidP="004D21A8">
      <w:pPr>
        <w:pStyle w:val="BodyText"/>
      </w:pPr>
    </w:p>
    <w:p w14:paraId="6AB0AA19" w14:textId="77777777" w:rsidR="00D953E0" w:rsidRDefault="00D953E0" w:rsidP="004D21A8">
      <w:pPr>
        <w:pStyle w:val="BodyText"/>
      </w:pPr>
    </w:p>
    <w:p w14:paraId="707A5055" w14:textId="77777777" w:rsidR="00D953E0" w:rsidRDefault="00D953E0" w:rsidP="004D21A8">
      <w:pPr>
        <w:pStyle w:val="BodyText"/>
      </w:pPr>
    </w:p>
    <w:p w14:paraId="1176BD0E" w14:textId="77777777" w:rsidR="00D953E0" w:rsidRDefault="00D953E0" w:rsidP="004D21A8">
      <w:pPr>
        <w:pStyle w:val="BodyText"/>
      </w:pPr>
    </w:p>
    <w:p w14:paraId="0FDF52E2" w14:textId="33171BB5" w:rsidR="000475CC" w:rsidRDefault="005046A8" w:rsidP="004D21A8">
      <w:pPr>
        <w:pStyle w:val="BodyText"/>
        <w:rPr>
          <w:b/>
          <w:bCs w:val="0"/>
        </w:rPr>
      </w:pPr>
      <w:r>
        <w:rPr>
          <w:b/>
          <w:bCs w:val="0"/>
        </w:rPr>
        <w:lastRenderedPageBreak/>
        <w:t>External Audit: Lancashire County</w:t>
      </w:r>
      <w:r>
        <w:rPr>
          <w:b/>
          <w:bCs w:val="0"/>
        </w:rPr>
        <w:t xml:space="preserve"> Pension Fund Audit Findings Report 2022/23</w:t>
      </w:r>
    </w:p>
    <w:p w14:paraId="372B527B" w14:textId="77777777" w:rsidR="000475CC" w:rsidRDefault="000475CC" w:rsidP="004D21A8">
      <w:pPr>
        <w:pStyle w:val="BodyText"/>
        <w:rPr>
          <w:b/>
          <w:bCs w:val="0"/>
        </w:rPr>
      </w:pPr>
    </w:p>
    <w:p w14:paraId="126B4AFF" w14:textId="08B20A16" w:rsidR="000475CC" w:rsidRDefault="005046A8" w:rsidP="004D21A8">
      <w:pPr>
        <w:pStyle w:val="BodyText"/>
      </w:pPr>
      <w:r w:rsidRPr="000475CC">
        <w:t>Stuart Basnett, Senior Audit Manager at Grant Thornton UK presented the Lancashire County Pension Fund Audit Findings Report for 2022/23.</w:t>
      </w:r>
    </w:p>
    <w:p w14:paraId="0C97F763" w14:textId="77777777" w:rsidR="000475CC" w:rsidRDefault="000475CC" w:rsidP="004D21A8">
      <w:pPr>
        <w:pStyle w:val="BodyText"/>
      </w:pPr>
    </w:p>
    <w:p w14:paraId="69E0E08C" w14:textId="24BED6A9" w:rsidR="000475CC" w:rsidRDefault="005046A8" w:rsidP="004D21A8">
      <w:pPr>
        <w:pStyle w:val="BodyText"/>
      </w:pPr>
      <w:r>
        <w:rPr>
          <w:b/>
          <w:bCs w:val="0"/>
        </w:rPr>
        <w:t xml:space="preserve">Resolved: </w:t>
      </w:r>
      <w:r w:rsidRPr="000475CC">
        <w:t xml:space="preserve">That the Lancashire County Pension Fund Audit Findings Report </w:t>
      </w:r>
      <w:r w:rsidRPr="000475CC">
        <w:t>2022/23 be noted.</w:t>
      </w:r>
    </w:p>
    <w:p w14:paraId="0731B41B" w14:textId="77777777" w:rsidR="000475CC" w:rsidRDefault="000475CC" w:rsidP="004D21A8">
      <w:pPr>
        <w:pStyle w:val="BodyText"/>
      </w:pPr>
    </w:p>
    <w:p w14:paraId="11DE88C5" w14:textId="4AEC7EC2" w:rsidR="000475CC" w:rsidRDefault="005046A8" w:rsidP="004D21A8">
      <w:pPr>
        <w:pStyle w:val="BodyText"/>
        <w:rPr>
          <w:b/>
          <w:bCs w:val="0"/>
        </w:rPr>
      </w:pPr>
      <w:r>
        <w:rPr>
          <w:b/>
          <w:bCs w:val="0"/>
        </w:rPr>
        <w:t>Internal Audit Progress Report</w:t>
      </w:r>
    </w:p>
    <w:p w14:paraId="233E4603" w14:textId="77777777" w:rsidR="000475CC" w:rsidRDefault="000475CC" w:rsidP="004D21A8">
      <w:pPr>
        <w:pStyle w:val="BodyText"/>
        <w:rPr>
          <w:b/>
          <w:bCs w:val="0"/>
        </w:rPr>
      </w:pPr>
    </w:p>
    <w:p w14:paraId="42FAC685" w14:textId="1B03E01F" w:rsidR="000475CC" w:rsidRDefault="005046A8" w:rsidP="004D21A8">
      <w:pPr>
        <w:pStyle w:val="BodyText"/>
      </w:pPr>
      <w:r w:rsidRPr="000475CC">
        <w:t>Andy Dalecki, Head of Internal Audit presented an update on the Internal Audit Service's work and outcomes for 2023/24, for the period to 2 January 2024.</w:t>
      </w:r>
    </w:p>
    <w:p w14:paraId="3AA56625" w14:textId="77777777" w:rsidR="000475CC" w:rsidRDefault="000475CC" w:rsidP="004D21A8">
      <w:pPr>
        <w:pStyle w:val="BodyText"/>
      </w:pPr>
    </w:p>
    <w:p w14:paraId="6DD2A41E" w14:textId="47C1E498" w:rsidR="000475CC" w:rsidRDefault="005046A8" w:rsidP="004D21A8">
      <w:pPr>
        <w:pStyle w:val="BodyText"/>
      </w:pPr>
      <w:r>
        <w:rPr>
          <w:b/>
          <w:bCs w:val="0"/>
        </w:rPr>
        <w:t xml:space="preserve">Resolved: </w:t>
      </w:r>
      <w:r w:rsidRPr="000475CC">
        <w:t xml:space="preserve">That the Internal Audit Progress </w:t>
      </w:r>
      <w:r w:rsidRPr="000475CC">
        <w:t>Report be noted.</w:t>
      </w:r>
    </w:p>
    <w:p w14:paraId="5B1D1F1C" w14:textId="77777777" w:rsidR="000475CC" w:rsidRDefault="000475CC" w:rsidP="004D21A8">
      <w:pPr>
        <w:pStyle w:val="BodyText"/>
      </w:pPr>
    </w:p>
    <w:p w14:paraId="23EC2A93" w14:textId="68B1127E" w:rsidR="000475CC" w:rsidRDefault="005046A8" w:rsidP="004D21A8">
      <w:pPr>
        <w:pStyle w:val="BodyText"/>
        <w:rPr>
          <w:b/>
          <w:bCs w:val="0"/>
        </w:rPr>
      </w:pPr>
      <w:r>
        <w:rPr>
          <w:b/>
          <w:bCs w:val="0"/>
        </w:rPr>
        <w:t>Governance Risk and Resilience Framework Review</w:t>
      </w:r>
    </w:p>
    <w:p w14:paraId="0C55E94E" w14:textId="77777777" w:rsidR="000475CC" w:rsidRDefault="000475CC" w:rsidP="004D21A8">
      <w:pPr>
        <w:pStyle w:val="BodyText"/>
        <w:rPr>
          <w:b/>
          <w:bCs w:val="0"/>
        </w:rPr>
      </w:pPr>
    </w:p>
    <w:p w14:paraId="080744A6" w14:textId="5CA68BF7" w:rsidR="000475CC" w:rsidRDefault="005046A8" w:rsidP="004D21A8">
      <w:pPr>
        <w:pStyle w:val="BodyText"/>
      </w:pPr>
      <w:r w:rsidRPr="000475CC">
        <w:t xml:space="preserve">Heloise MacAndrew, Director of </w:t>
      </w:r>
      <w:r w:rsidR="00CA507C" w:rsidRPr="000475CC">
        <w:t>Law,</w:t>
      </w:r>
      <w:r w:rsidRPr="000475CC">
        <w:t xml:space="preserve"> and Governance presented the findings from the council's assessment of governance risks, which had been carried out against the Centre for Governance and</w:t>
      </w:r>
      <w:r w:rsidRPr="000475CC">
        <w:t xml:space="preserve"> Scrutiny's Risk and Resilience Framework.</w:t>
      </w:r>
    </w:p>
    <w:p w14:paraId="6BC0EB59" w14:textId="77777777" w:rsidR="000475CC" w:rsidRDefault="000475CC" w:rsidP="004D21A8">
      <w:pPr>
        <w:pStyle w:val="BodyText"/>
      </w:pPr>
    </w:p>
    <w:p w14:paraId="39F25491" w14:textId="5410A020" w:rsidR="000475CC" w:rsidRDefault="005046A8" w:rsidP="004D21A8">
      <w:pPr>
        <w:pStyle w:val="BodyText"/>
      </w:pPr>
      <w:r>
        <w:rPr>
          <w:b/>
          <w:bCs w:val="0"/>
        </w:rPr>
        <w:t xml:space="preserve">Resolved: </w:t>
      </w:r>
      <w:r>
        <w:t>That:</w:t>
      </w:r>
    </w:p>
    <w:p w14:paraId="3A2CCA1F" w14:textId="77777777" w:rsidR="000475CC" w:rsidRDefault="000475CC" w:rsidP="004D21A8">
      <w:pPr>
        <w:pStyle w:val="BodyText"/>
      </w:pPr>
    </w:p>
    <w:p w14:paraId="042ECA5F" w14:textId="77777777" w:rsidR="00D953E0" w:rsidRDefault="005046A8" w:rsidP="00D953E0">
      <w:pPr>
        <w:pStyle w:val="BodyText"/>
        <w:numPr>
          <w:ilvl w:val="0"/>
          <w:numId w:val="7"/>
        </w:numPr>
      </w:pPr>
      <w:r>
        <w:t>The actions set out at Appendix 'A' be approved; and</w:t>
      </w:r>
    </w:p>
    <w:p w14:paraId="7DEC81B9" w14:textId="77777777" w:rsidR="00D953E0" w:rsidRDefault="00D953E0" w:rsidP="00D953E0">
      <w:pPr>
        <w:pStyle w:val="BodyText"/>
        <w:ind w:left="720"/>
      </w:pPr>
    </w:p>
    <w:p w14:paraId="15FA73BF" w14:textId="5651336D" w:rsidR="000475CC" w:rsidRPr="000475CC" w:rsidRDefault="005046A8" w:rsidP="00D953E0">
      <w:pPr>
        <w:pStyle w:val="BodyText"/>
        <w:numPr>
          <w:ilvl w:val="0"/>
          <w:numId w:val="7"/>
        </w:numPr>
      </w:pPr>
      <w:r>
        <w:t xml:space="preserve">Approval be given to conduct another Governance Risk and Resilience Framework review exercise in late 2025 or early 2026, following the </w:t>
      </w:r>
      <w:r>
        <w:t>next county council elections.</w:t>
      </w:r>
    </w:p>
    <w:p w14:paraId="55214B74" w14:textId="77777777" w:rsidR="000475CC" w:rsidRDefault="000475CC" w:rsidP="004D21A8">
      <w:pPr>
        <w:pStyle w:val="BodyText"/>
        <w:rPr>
          <w:b/>
          <w:bCs w:val="0"/>
        </w:rPr>
      </w:pPr>
    </w:p>
    <w:p w14:paraId="303D4BA0" w14:textId="572F6B02" w:rsidR="004D21A8" w:rsidRDefault="005046A8" w:rsidP="004D21A8">
      <w:pPr>
        <w:pStyle w:val="BodyText"/>
        <w:rPr>
          <w:b/>
          <w:bCs w:val="0"/>
        </w:rPr>
      </w:pPr>
      <w:r>
        <w:rPr>
          <w:b/>
          <w:bCs w:val="0"/>
        </w:rPr>
        <w:t>Code of Conduct – Annual Report of Complaints</w:t>
      </w:r>
    </w:p>
    <w:p w14:paraId="308D5D68" w14:textId="77777777" w:rsidR="000475CC" w:rsidRDefault="000475CC" w:rsidP="004D21A8">
      <w:pPr>
        <w:pStyle w:val="BodyText"/>
        <w:rPr>
          <w:b/>
          <w:bCs w:val="0"/>
        </w:rPr>
      </w:pPr>
    </w:p>
    <w:p w14:paraId="09780185" w14:textId="1EB4C98F" w:rsidR="000475CC" w:rsidRDefault="005046A8" w:rsidP="004D21A8">
      <w:pPr>
        <w:pStyle w:val="BodyText"/>
      </w:pPr>
      <w:r w:rsidRPr="000475CC">
        <w:t>Josh Mynott, Democratic and Member Services Manager presented a summary of all complaints received against county councillors under the Code of Conduct in 2023.</w:t>
      </w:r>
    </w:p>
    <w:p w14:paraId="159454AF" w14:textId="77777777" w:rsidR="000475CC" w:rsidRDefault="000475CC" w:rsidP="004D21A8">
      <w:pPr>
        <w:pStyle w:val="BodyText"/>
      </w:pPr>
    </w:p>
    <w:p w14:paraId="5E6216D3" w14:textId="28923E11" w:rsidR="000475CC" w:rsidRDefault="005046A8" w:rsidP="004D21A8">
      <w:pPr>
        <w:pStyle w:val="BodyText"/>
      </w:pPr>
      <w:r>
        <w:rPr>
          <w:b/>
          <w:bCs w:val="0"/>
        </w:rPr>
        <w:t xml:space="preserve">Resolved: </w:t>
      </w:r>
      <w:r>
        <w:t xml:space="preserve">That </w:t>
      </w:r>
      <w:r>
        <w:t>the summary of complaints received in 2023 be noted.</w:t>
      </w:r>
    </w:p>
    <w:p w14:paraId="49F84E71" w14:textId="77777777" w:rsidR="000475CC" w:rsidRDefault="000475CC" w:rsidP="004D21A8">
      <w:pPr>
        <w:pStyle w:val="BodyText"/>
      </w:pPr>
    </w:p>
    <w:p w14:paraId="7630BA09" w14:textId="5BF39673" w:rsidR="000475CC" w:rsidRDefault="005046A8" w:rsidP="004D21A8">
      <w:pPr>
        <w:pStyle w:val="BodyText"/>
        <w:rPr>
          <w:b/>
          <w:bCs w:val="0"/>
        </w:rPr>
      </w:pPr>
      <w:r>
        <w:rPr>
          <w:b/>
          <w:bCs w:val="0"/>
        </w:rPr>
        <w:t>Local Member Grants Scheme – Update Report</w:t>
      </w:r>
    </w:p>
    <w:p w14:paraId="5D574FC5" w14:textId="77777777" w:rsidR="000475CC" w:rsidRDefault="000475CC" w:rsidP="004D21A8">
      <w:pPr>
        <w:pStyle w:val="BodyText"/>
        <w:rPr>
          <w:b/>
          <w:bCs w:val="0"/>
        </w:rPr>
      </w:pPr>
    </w:p>
    <w:p w14:paraId="73BD0E7A" w14:textId="5B77B4B3" w:rsidR="000475CC" w:rsidRDefault="005046A8" w:rsidP="004D21A8">
      <w:pPr>
        <w:pStyle w:val="BodyText"/>
      </w:pPr>
      <w:r w:rsidRPr="00CA507C">
        <w:t>Josh Mynott, Democratic and Member Services Manager presented an update on the outcomes of the Local Member Grants Scheme monitoring activity carried out by D</w:t>
      </w:r>
      <w:r w:rsidRPr="00CA507C">
        <w:t>emocratic Services, for the period January 2022 to June 2023.</w:t>
      </w:r>
    </w:p>
    <w:p w14:paraId="5A55F6EE" w14:textId="77777777" w:rsidR="00CA507C" w:rsidRDefault="00CA507C" w:rsidP="004D21A8">
      <w:pPr>
        <w:pStyle w:val="BodyText"/>
      </w:pPr>
    </w:p>
    <w:p w14:paraId="1E9A4811" w14:textId="2EC21FE5" w:rsidR="00CA507C" w:rsidRDefault="005046A8" w:rsidP="004D21A8">
      <w:pPr>
        <w:pStyle w:val="BodyText"/>
      </w:pPr>
      <w:r>
        <w:rPr>
          <w:b/>
          <w:bCs w:val="0"/>
        </w:rPr>
        <w:t xml:space="preserve">Resolved: </w:t>
      </w:r>
      <w:r w:rsidRPr="00CA507C">
        <w:t>That the Local Member Grants Scheme - Update Report for January 2022 to June 2023 be noted.</w:t>
      </w:r>
    </w:p>
    <w:p w14:paraId="1FCC8987" w14:textId="77777777" w:rsidR="00CA507C" w:rsidRDefault="00CA507C" w:rsidP="004D21A8">
      <w:pPr>
        <w:pStyle w:val="BodyText"/>
      </w:pPr>
    </w:p>
    <w:p w14:paraId="090DE828" w14:textId="05FF305B" w:rsidR="00CA507C" w:rsidRDefault="005046A8" w:rsidP="004D21A8">
      <w:pPr>
        <w:pStyle w:val="BodyText"/>
        <w:rPr>
          <w:b/>
          <w:bCs w:val="0"/>
        </w:rPr>
      </w:pPr>
      <w:r>
        <w:rPr>
          <w:b/>
          <w:bCs w:val="0"/>
        </w:rPr>
        <w:t>Corporate Risk and Opportunity Register – Quarter 4 Update</w:t>
      </w:r>
    </w:p>
    <w:p w14:paraId="4A8DAD0F" w14:textId="77777777" w:rsidR="00CA507C" w:rsidRDefault="00CA507C" w:rsidP="004D21A8">
      <w:pPr>
        <w:pStyle w:val="BodyText"/>
        <w:rPr>
          <w:b/>
          <w:bCs w:val="0"/>
        </w:rPr>
      </w:pPr>
    </w:p>
    <w:p w14:paraId="62AD0DA3" w14:textId="2B29DB23" w:rsidR="00CA507C" w:rsidRDefault="005046A8" w:rsidP="004D21A8">
      <w:pPr>
        <w:pStyle w:val="BodyText"/>
      </w:pPr>
      <w:r w:rsidRPr="00CA507C">
        <w:t>Heloise MacAndrew, Director of</w:t>
      </w:r>
      <w:r w:rsidRPr="00CA507C">
        <w:t xml:space="preserve"> Law and Governance presented the updated Corporate Risk and Opportunity Register for Quarter 4 of 2023/24.</w:t>
      </w:r>
    </w:p>
    <w:p w14:paraId="4B643736" w14:textId="77777777" w:rsidR="00CA507C" w:rsidRDefault="00CA507C" w:rsidP="004D21A8">
      <w:pPr>
        <w:pStyle w:val="BodyText"/>
      </w:pPr>
    </w:p>
    <w:p w14:paraId="4696017C" w14:textId="7F87E145" w:rsidR="00CA507C" w:rsidRPr="00CA507C" w:rsidRDefault="005046A8" w:rsidP="004D21A8">
      <w:pPr>
        <w:pStyle w:val="BodyText"/>
        <w:rPr>
          <w:b/>
          <w:bCs w:val="0"/>
        </w:rPr>
      </w:pPr>
      <w:r>
        <w:rPr>
          <w:b/>
          <w:bCs w:val="0"/>
        </w:rPr>
        <w:t xml:space="preserve">Resolved: </w:t>
      </w:r>
      <w:r w:rsidRPr="00CA507C">
        <w:t>That the updated Corporate Risk and Opportunity Register be approved.</w:t>
      </w:r>
    </w:p>
    <w:p w14:paraId="5A05CAC6" w14:textId="77777777" w:rsidR="000475CC" w:rsidRDefault="000475CC" w:rsidP="004D21A8">
      <w:pPr>
        <w:pStyle w:val="BodyText"/>
      </w:pPr>
    </w:p>
    <w:p w14:paraId="3A8B0999" w14:textId="77777777" w:rsidR="004D21A8" w:rsidRDefault="005046A8" w:rsidP="004D21A8">
      <w:pPr>
        <w:pStyle w:val="H2NoNumb"/>
        <w:spacing w:before="0"/>
      </w:pPr>
      <w:r>
        <w:t>Part II (Not Open to Press and Public)</w:t>
      </w:r>
    </w:p>
    <w:p w14:paraId="02FC0F92" w14:textId="77777777" w:rsidR="004D21A8" w:rsidRDefault="004D21A8" w:rsidP="004D21A8">
      <w:pPr>
        <w:pStyle w:val="BodyText"/>
      </w:pPr>
    </w:p>
    <w:p w14:paraId="1AEE177A" w14:textId="5ACD9243" w:rsidR="004D21A8" w:rsidRDefault="005046A8" w:rsidP="004D21A8">
      <w:pPr>
        <w:pStyle w:val="BodyText"/>
        <w:rPr>
          <w:b/>
        </w:rPr>
      </w:pPr>
      <w:r>
        <w:rPr>
          <w:b/>
        </w:rPr>
        <w:t>Appendix 'C' to Item 13</w:t>
      </w:r>
    </w:p>
    <w:p w14:paraId="5ABB1ADA" w14:textId="77777777" w:rsidR="00CA507C" w:rsidRDefault="00CA507C" w:rsidP="004D21A8">
      <w:pPr>
        <w:pStyle w:val="BodyText"/>
        <w:rPr>
          <w:b/>
        </w:rPr>
      </w:pPr>
    </w:p>
    <w:p w14:paraId="008BD02A" w14:textId="25513166" w:rsidR="00CA507C" w:rsidRPr="00CA507C" w:rsidRDefault="005046A8" w:rsidP="004D21A8">
      <w:pPr>
        <w:pStyle w:val="BodyText"/>
        <w:rPr>
          <w:bCs w:val="0"/>
        </w:rPr>
      </w:pPr>
      <w:r w:rsidRPr="00CA507C">
        <w:rPr>
          <w:bCs w:val="0"/>
        </w:rPr>
        <w:t>T</w:t>
      </w:r>
      <w:r w:rsidRPr="00CA507C">
        <w:rPr>
          <w:bCs w:val="0"/>
        </w:rPr>
        <w:t>he committee considered the private and confidential Appendix C to Item 13 – Corporate Risk and Opportunity Register – Quarter 4 Update.</w:t>
      </w:r>
    </w:p>
    <w:p w14:paraId="766FB4A9" w14:textId="77777777" w:rsidR="004D21A8" w:rsidRDefault="004D21A8" w:rsidP="004D21A8">
      <w:pPr>
        <w:pStyle w:val="BodyText"/>
      </w:pPr>
    </w:p>
    <w:p w14:paraId="3672BB7E" w14:textId="3C9C8243" w:rsidR="004D21A8" w:rsidRDefault="005046A8" w:rsidP="004D21A8">
      <w:pPr>
        <w:pStyle w:val="BodyText"/>
      </w:pPr>
      <w:r w:rsidRPr="00C025D5">
        <w:rPr>
          <w:b/>
        </w:rPr>
        <w:t>Resolved</w:t>
      </w:r>
      <w:r>
        <w:t xml:space="preserve">: </w:t>
      </w:r>
      <w:r w:rsidR="00CA507C" w:rsidRPr="00CA507C">
        <w:t>That Appendix C to Item 13 – Corporate Risk and Opportunity Register – Quarter 4 Update, be noted.</w:t>
      </w:r>
    </w:p>
    <w:p w14:paraId="6A8FB39A" w14:textId="77777777" w:rsidR="004D21A8" w:rsidRDefault="004D21A8" w:rsidP="004D21A8">
      <w:pPr>
        <w:pStyle w:val="BodyText"/>
      </w:pPr>
    </w:p>
    <w:p w14:paraId="25EA0B31" w14:textId="781C50B3" w:rsidR="004D21A8" w:rsidRPr="0063105A" w:rsidRDefault="005046A8" w:rsidP="004D21A8">
      <w:pPr>
        <w:pStyle w:val="BodyText"/>
        <w:rPr>
          <w:b/>
          <w:bCs w:val="0"/>
        </w:rPr>
      </w:pPr>
      <w:r>
        <w:rPr>
          <w:b/>
        </w:rPr>
        <w:t>Appendix 'E' to Item 9</w:t>
      </w:r>
    </w:p>
    <w:p w14:paraId="1EBC0E06" w14:textId="77777777" w:rsidR="004D21A8" w:rsidRDefault="004D21A8" w:rsidP="004D21A8">
      <w:pPr>
        <w:pStyle w:val="BodyText"/>
      </w:pPr>
    </w:p>
    <w:p w14:paraId="62C8B827" w14:textId="1E55CB86" w:rsidR="004D21A8" w:rsidRDefault="005046A8" w:rsidP="004D21A8">
      <w:pPr>
        <w:pStyle w:val="BodyText"/>
      </w:pPr>
      <w:r w:rsidRPr="00CA507C">
        <w:t>The committee considered the private and confidential Appendix E to Item 9 – Internal Audit Progress Report.</w:t>
      </w:r>
    </w:p>
    <w:p w14:paraId="7487516E" w14:textId="77777777" w:rsidR="00CA507C" w:rsidRPr="009F68C6" w:rsidRDefault="00CA507C" w:rsidP="004D21A8">
      <w:pPr>
        <w:pStyle w:val="BodyText"/>
      </w:pPr>
    </w:p>
    <w:p w14:paraId="494D9120" w14:textId="3C39DFD1" w:rsidR="004D21A8" w:rsidRDefault="005046A8" w:rsidP="004D21A8">
      <w:pPr>
        <w:pStyle w:val="BodyText"/>
      </w:pPr>
      <w:r w:rsidRPr="00C025D5">
        <w:rPr>
          <w:b/>
        </w:rPr>
        <w:t>Resolved</w:t>
      </w:r>
      <w:r>
        <w:t xml:space="preserve">: </w:t>
      </w:r>
      <w:r w:rsidR="00CA507C" w:rsidRPr="00CA507C">
        <w:t>That Appendix E to Item 9 – Internal Audit Progress Report, be noted.</w:t>
      </w:r>
    </w:p>
    <w:p w14:paraId="6C68C9D9" w14:textId="77777777" w:rsidR="00CA507C" w:rsidRDefault="00CA507C" w:rsidP="004D21A8">
      <w:pPr>
        <w:pStyle w:val="BodyText"/>
      </w:pPr>
    </w:p>
    <w:p w14:paraId="2AE410EB" w14:textId="721FCB78" w:rsidR="00CA507C" w:rsidRDefault="005046A8" w:rsidP="004D21A8">
      <w:pPr>
        <w:pStyle w:val="BodyText"/>
        <w:rPr>
          <w:b/>
          <w:bCs w:val="0"/>
        </w:rPr>
      </w:pPr>
      <w:r>
        <w:rPr>
          <w:b/>
          <w:bCs w:val="0"/>
        </w:rPr>
        <w:t>Local Pensions Partnership Investment Ltd</w:t>
      </w:r>
      <w:r>
        <w:rPr>
          <w:b/>
          <w:bCs w:val="0"/>
        </w:rPr>
        <w:t xml:space="preserve"> – Internal Audit Summaries</w:t>
      </w:r>
    </w:p>
    <w:p w14:paraId="143F7B6B" w14:textId="77777777" w:rsidR="00CA507C" w:rsidRDefault="00CA507C" w:rsidP="004D21A8">
      <w:pPr>
        <w:pStyle w:val="BodyText"/>
        <w:rPr>
          <w:b/>
          <w:bCs w:val="0"/>
        </w:rPr>
      </w:pPr>
    </w:p>
    <w:p w14:paraId="42861694" w14:textId="1794940C" w:rsidR="00CA507C" w:rsidRDefault="005046A8" w:rsidP="004D21A8">
      <w:pPr>
        <w:pStyle w:val="BodyText"/>
      </w:pPr>
      <w:r w:rsidRPr="00CA507C">
        <w:t>Andy Dalecki, Head of Internal Audit presented a private and confidential summary of Local Pensions Partnership Investment Ltd's internal audits for 2022/23</w:t>
      </w:r>
      <w:r>
        <w:t>.</w:t>
      </w:r>
    </w:p>
    <w:p w14:paraId="405C278E" w14:textId="77777777" w:rsidR="00CA507C" w:rsidRDefault="00CA507C" w:rsidP="004D21A8">
      <w:pPr>
        <w:pStyle w:val="BodyText"/>
      </w:pPr>
    </w:p>
    <w:p w14:paraId="2F165FB9" w14:textId="396465C4" w:rsidR="00CA507C" w:rsidRPr="00CA507C" w:rsidRDefault="005046A8" w:rsidP="004D21A8">
      <w:pPr>
        <w:pStyle w:val="BodyText"/>
      </w:pPr>
      <w:r>
        <w:rPr>
          <w:b/>
          <w:bCs w:val="0"/>
        </w:rPr>
        <w:t xml:space="preserve">Resolved: </w:t>
      </w:r>
      <w:r w:rsidRPr="00CA507C">
        <w:t>That the internal audit summaries for Local Pensions Partn</w:t>
      </w:r>
      <w:r w:rsidRPr="00CA507C">
        <w:t>ership Investment Ltd be noted.</w:t>
      </w:r>
    </w:p>
    <w:p w14:paraId="6769C8F4" w14:textId="77777777" w:rsidR="004D21A8" w:rsidRDefault="004D21A8" w:rsidP="00844118"/>
    <w:p w14:paraId="4445D2F1" w14:textId="3AEE283A" w:rsidR="00CA507C" w:rsidRDefault="005046A8" w:rsidP="00844118">
      <w:pPr>
        <w:rPr>
          <w:b/>
          <w:bCs w:val="0"/>
        </w:rPr>
      </w:pPr>
      <w:r>
        <w:rPr>
          <w:b/>
          <w:bCs w:val="0"/>
        </w:rPr>
        <w:t>Counter Financial Crime, Investigations and Whistleblowing Update Report</w:t>
      </w:r>
    </w:p>
    <w:p w14:paraId="15E19C5C" w14:textId="77777777" w:rsidR="00CA507C" w:rsidRDefault="00CA507C" w:rsidP="00844118">
      <w:pPr>
        <w:rPr>
          <w:b/>
          <w:bCs w:val="0"/>
        </w:rPr>
      </w:pPr>
    </w:p>
    <w:p w14:paraId="08A4C1C5" w14:textId="26FE88C3" w:rsidR="00CA507C" w:rsidRDefault="005046A8" w:rsidP="00844118">
      <w:r w:rsidRPr="00CA507C">
        <w:t>Peter Walker, Investigations Manager and Deputy Money Laundering Reporting Officer presented a private and confidential update on the counter financi</w:t>
      </w:r>
      <w:r w:rsidRPr="00CA507C">
        <w:t>al crime, investigations, and whistleblowing work so far in 2023/24.</w:t>
      </w:r>
    </w:p>
    <w:p w14:paraId="5FC75F65" w14:textId="77777777" w:rsidR="00CA507C" w:rsidRDefault="00CA507C" w:rsidP="00844118"/>
    <w:p w14:paraId="6177550B" w14:textId="52B2B376" w:rsidR="00CA507C" w:rsidRDefault="005046A8" w:rsidP="00844118">
      <w:r w:rsidRPr="00CA507C">
        <w:rPr>
          <w:b/>
          <w:bCs w:val="0"/>
        </w:rPr>
        <w:t>Resolved</w:t>
      </w:r>
      <w:r w:rsidRPr="00CA507C">
        <w:t>: That the Counter Financial Crime, Investigations and Whistleblowing Update Report be noted.</w:t>
      </w:r>
    </w:p>
    <w:p w14:paraId="358217BC" w14:textId="77777777" w:rsidR="00CA507C" w:rsidRDefault="00CA507C" w:rsidP="00844118"/>
    <w:p w14:paraId="42CEFD7F" w14:textId="3EDA3E0C" w:rsidR="00CA507C" w:rsidRDefault="005046A8" w:rsidP="00844118">
      <w:pPr>
        <w:rPr>
          <w:b/>
          <w:bCs w:val="0"/>
        </w:rPr>
      </w:pPr>
      <w:r>
        <w:rPr>
          <w:b/>
          <w:bCs w:val="0"/>
        </w:rPr>
        <w:t>Cyber Security Risk Update</w:t>
      </w:r>
    </w:p>
    <w:p w14:paraId="547F50FA" w14:textId="77777777" w:rsidR="00CA507C" w:rsidRDefault="00CA507C" w:rsidP="00844118">
      <w:pPr>
        <w:rPr>
          <w:b/>
          <w:bCs w:val="0"/>
        </w:rPr>
      </w:pPr>
    </w:p>
    <w:p w14:paraId="7D836056" w14:textId="478B0456" w:rsidR="00CA507C" w:rsidRDefault="005046A8" w:rsidP="00844118">
      <w:r w:rsidRPr="00CA507C">
        <w:t>Carol Groom, Head of ICT Strategy and Assurance and Pet</w:t>
      </w:r>
      <w:r w:rsidRPr="00CA507C">
        <w:t>er Lloyd, Director of Digital presented a private and confidential update on cyber security across the council.</w:t>
      </w:r>
    </w:p>
    <w:p w14:paraId="0F8644D2" w14:textId="77777777" w:rsidR="00CA507C" w:rsidRDefault="00CA507C" w:rsidP="00844118"/>
    <w:p w14:paraId="26434A6B" w14:textId="2A02EA50" w:rsidR="00CA507C" w:rsidRDefault="005046A8" w:rsidP="00844118">
      <w:r>
        <w:rPr>
          <w:b/>
          <w:bCs w:val="0"/>
        </w:rPr>
        <w:t xml:space="preserve">Resolved: </w:t>
      </w:r>
      <w:r>
        <w:t>That</w:t>
      </w:r>
    </w:p>
    <w:p w14:paraId="583F130B" w14:textId="77777777" w:rsidR="00CA507C" w:rsidRDefault="00CA507C" w:rsidP="00844118"/>
    <w:p w14:paraId="1E50ABFC" w14:textId="2D576042" w:rsidR="00CA507C" w:rsidRDefault="005046A8" w:rsidP="001A0658">
      <w:pPr>
        <w:pStyle w:val="ListParagraph"/>
        <w:numPr>
          <w:ilvl w:val="0"/>
          <w:numId w:val="8"/>
        </w:numPr>
      </w:pPr>
      <w:r w:rsidRPr="00CA507C">
        <w:t>The Cyber Security Risk Update be noted; and</w:t>
      </w:r>
    </w:p>
    <w:p w14:paraId="0C8C514A" w14:textId="77777777" w:rsidR="00CA507C" w:rsidRDefault="00CA507C" w:rsidP="00CA507C">
      <w:pPr>
        <w:pStyle w:val="ListParagraph"/>
        <w:ind w:left="1080"/>
      </w:pPr>
    </w:p>
    <w:p w14:paraId="10AD2D48" w14:textId="2FF42962" w:rsidR="00CA507C" w:rsidRDefault="005046A8" w:rsidP="001A0658">
      <w:pPr>
        <w:pStyle w:val="ListParagraph"/>
        <w:numPr>
          <w:ilvl w:val="0"/>
          <w:numId w:val="8"/>
        </w:numPr>
      </w:pPr>
      <w:r w:rsidRPr="00CA507C">
        <w:t xml:space="preserve">A further report on cyber security risks be provided in 12 months' time, at </w:t>
      </w:r>
      <w:r w:rsidRPr="00CA507C">
        <w:t>the Audit, Risk and Governance Committee meeting on 27 January 2025.</w:t>
      </w:r>
    </w:p>
    <w:p w14:paraId="4456C10B" w14:textId="77777777" w:rsidR="00CA507C" w:rsidRDefault="00CA507C" w:rsidP="00CA507C"/>
    <w:p w14:paraId="5D45F751" w14:textId="5FAF568E" w:rsidR="00CA507C" w:rsidRDefault="005046A8" w:rsidP="00CA507C">
      <w:pPr>
        <w:rPr>
          <w:b/>
          <w:bCs w:val="0"/>
        </w:rPr>
      </w:pPr>
      <w:r>
        <w:rPr>
          <w:b/>
          <w:bCs w:val="0"/>
        </w:rPr>
        <w:t>Update on the Overpayment of Salaries</w:t>
      </w:r>
    </w:p>
    <w:p w14:paraId="4501C53A" w14:textId="77777777" w:rsidR="00CA507C" w:rsidRDefault="00CA507C" w:rsidP="00CA507C">
      <w:pPr>
        <w:rPr>
          <w:b/>
          <w:bCs w:val="0"/>
        </w:rPr>
      </w:pPr>
    </w:p>
    <w:p w14:paraId="1B2B78A4" w14:textId="6A4D99F4" w:rsidR="00CA507C" w:rsidRDefault="005046A8" w:rsidP="00CA507C">
      <w:r w:rsidRPr="00CA507C">
        <w:t>Neil Kissock, Director of Finance presented a private and confidential report which provided the requested twice-yearly update on the overpayment o</w:t>
      </w:r>
      <w:r w:rsidRPr="00CA507C">
        <w:t>f salaries.</w:t>
      </w:r>
    </w:p>
    <w:p w14:paraId="3B9F4D1D" w14:textId="77777777" w:rsidR="00CA507C" w:rsidRDefault="00CA507C" w:rsidP="00CA507C"/>
    <w:p w14:paraId="59E433E1" w14:textId="2DEA7B3C" w:rsidR="00CA507C" w:rsidRPr="00CA507C" w:rsidRDefault="005046A8" w:rsidP="00CA507C">
      <w:pPr>
        <w:rPr>
          <w:b/>
          <w:bCs w:val="0"/>
        </w:rPr>
      </w:pPr>
      <w:r>
        <w:rPr>
          <w:b/>
          <w:bCs w:val="0"/>
        </w:rPr>
        <w:t xml:space="preserve">Resolved: </w:t>
      </w:r>
      <w:r w:rsidRPr="00CA507C">
        <w:t>That the report on the overpayment of salaries be noted.</w:t>
      </w:r>
    </w:p>
    <w:sectPr w:rsidR="00CA507C" w:rsidRPr="00CA507C" w:rsidSect="00C756A1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560" w:right="1440" w:bottom="1440" w:left="1440" w:header="720" w:footer="306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6EAB" w14:textId="77777777" w:rsidR="005046A8" w:rsidRDefault="005046A8">
      <w:r>
        <w:separator/>
      </w:r>
    </w:p>
  </w:endnote>
  <w:endnote w:type="continuationSeparator" w:id="0">
    <w:p w14:paraId="6ECAF62B" w14:textId="77777777" w:rsidR="005046A8" w:rsidRDefault="0050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92AA" w14:textId="77777777" w:rsidR="00D74129" w:rsidRDefault="005046A8" w:rsidP="00E16E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20B6A8F" w14:textId="77777777" w:rsidR="00D74129" w:rsidRDefault="00D74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8E16" w14:textId="1C05C331" w:rsidR="00D74129" w:rsidRDefault="00D74129" w:rsidP="00D74129">
    <w:pPr>
      <w:pStyle w:val="Footer"/>
      <w:framePr w:wrap="none" w:vAnchor="text" w:hAnchor="page" w:x="5872" w:y="-55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815C6C" w14:paraId="7095D284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0D32CAAC" w14:textId="77777777" w:rsidR="00DF043B" w:rsidRDefault="005046A8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-148590</wp:posOffset>
                </wp:positionV>
                <wp:extent cx="7548245" cy="621030"/>
                <wp:effectExtent l="0" t="0" r="0" b="0"/>
                <wp:wrapNone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24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EBA0E56" w14:textId="77777777" w:rsidR="00DF043B" w:rsidRDefault="00DF043B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6889" w14:textId="793B0328" w:rsidR="00D74129" w:rsidRDefault="00D74129" w:rsidP="00D74129">
    <w:pPr>
      <w:pStyle w:val="Footer"/>
      <w:framePr w:wrap="none" w:vAnchor="text" w:hAnchor="page" w:x="5858" w:y="-543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815C6C" w14:paraId="02D602DD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2B37481B" w14:textId="77777777" w:rsidR="0036487C" w:rsidRDefault="0036487C" w:rsidP="004D419B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67387D99" w14:textId="77777777" w:rsidR="00DF043B" w:rsidRPr="0036487C" w:rsidRDefault="005046A8" w:rsidP="0036487C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-255270</wp:posOffset>
          </wp:positionV>
          <wp:extent cx="7548245" cy="62103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5B4E" w14:textId="77777777" w:rsidR="005046A8" w:rsidRDefault="005046A8">
      <w:r>
        <w:separator/>
      </w:r>
    </w:p>
  </w:footnote>
  <w:footnote w:type="continuationSeparator" w:id="0">
    <w:p w14:paraId="5BCB1CB4" w14:textId="77777777" w:rsidR="005046A8" w:rsidRDefault="00504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3DDB" w14:textId="77777777" w:rsidR="00841033" w:rsidRDefault="005046A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-455295</wp:posOffset>
          </wp:positionV>
          <wp:extent cx="7615555" cy="2022475"/>
          <wp:effectExtent l="0" t="0" r="0" b="0"/>
          <wp:wrapNone/>
          <wp:docPr id="3" name="Picture 6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Background patter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202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051"/>
    <w:multiLevelType w:val="multilevel"/>
    <w:tmpl w:val="1884D1CE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5E40697"/>
    <w:multiLevelType w:val="hybridMultilevel"/>
    <w:tmpl w:val="613CCEFA"/>
    <w:lvl w:ilvl="0" w:tplc="D42C497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5D01A98" w:tentative="1">
      <w:start w:val="1"/>
      <w:numFmt w:val="lowerLetter"/>
      <w:lvlText w:val="%2."/>
      <w:lvlJc w:val="left"/>
      <w:pPr>
        <w:ind w:left="1440" w:hanging="360"/>
      </w:pPr>
    </w:lvl>
    <w:lvl w:ilvl="2" w:tplc="7EE21592" w:tentative="1">
      <w:start w:val="1"/>
      <w:numFmt w:val="lowerRoman"/>
      <w:lvlText w:val="%3."/>
      <w:lvlJc w:val="right"/>
      <w:pPr>
        <w:ind w:left="2160" w:hanging="180"/>
      </w:pPr>
    </w:lvl>
    <w:lvl w:ilvl="3" w:tplc="DC2ADDAA" w:tentative="1">
      <w:start w:val="1"/>
      <w:numFmt w:val="decimal"/>
      <w:lvlText w:val="%4."/>
      <w:lvlJc w:val="left"/>
      <w:pPr>
        <w:ind w:left="2880" w:hanging="360"/>
      </w:pPr>
    </w:lvl>
    <w:lvl w:ilvl="4" w:tplc="7736C902" w:tentative="1">
      <w:start w:val="1"/>
      <w:numFmt w:val="lowerLetter"/>
      <w:lvlText w:val="%5."/>
      <w:lvlJc w:val="left"/>
      <w:pPr>
        <w:ind w:left="3600" w:hanging="360"/>
      </w:pPr>
    </w:lvl>
    <w:lvl w:ilvl="5" w:tplc="F2D0AAD6" w:tentative="1">
      <w:start w:val="1"/>
      <w:numFmt w:val="lowerRoman"/>
      <w:lvlText w:val="%6."/>
      <w:lvlJc w:val="right"/>
      <w:pPr>
        <w:ind w:left="4320" w:hanging="180"/>
      </w:pPr>
    </w:lvl>
    <w:lvl w:ilvl="6" w:tplc="820EC928" w:tentative="1">
      <w:start w:val="1"/>
      <w:numFmt w:val="decimal"/>
      <w:lvlText w:val="%7."/>
      <w:lvlJc w:val="left"/>
      <w:pPr>
        <w:ind w:left="5040" w:hanging="360"/>
      </w:pPr>
    </w:lvl>
    <w:lvl w:ilvl="7" w:tplc="C27A553A" w:tentative="1">
      <w:start w:val="1"/>
      <w:numFmt w:val="lowerLetter"/>
      <w:lvlText w:val="%8."/>
      <w:lvlJc w:val="left"/>
      <w:pPr>
        <w:ind w:left="5760" w:hanging="360"/>
      </w:pPr>
    </w:lvl>
    <w:lvl w:ilvl="8" w:tplc="27647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4A8E"/>
    <w:multiLevelType w:val="hybridMultilevel"/>
    <w:tmpl w:val="1E7E4B84"/>
    <w:lvl w:ilvl="0" w:tplc="1C52E0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F4E4880" w:tentative="1">
      <w:start w:val="1"/>
      <w:numFmt w:val="lowerLetter"/>
      <w:lvlText w:val="%2."/>
      <w:lvlJc w:val="left"/>
      <w:pPr>
        <w:ind w:left="1440" w:hanging="360"/>
      </w:pPr>
    </w:lvl>
    <w:lvl w:ilvl="2" w:tplc="B97C7590" w:tentative="1">
      <w:start w:val="1"/>
      <w:numFmt w:val="lowerRoman"/>
      <w:lvlText w:val="%3."/>
      <w:lvlJc w:val="right"/>
      <w:pPr>
        <w:ind w:left="2160" w:hanging="180"/>
      </w:pPr>
    </w:lvl>
    <w:lvl w:ilvl="3" w:tplc="8536F17E" w:tentative="1">
      <w:start w:val="1"/>
      <w:numFmt w:val="decimal"/>
      <w:lvlText w:val="%4."/>
      <w:lvlJc w:val="left"/>
      <w:pPr>
        <w:ind w:left="2880" w:hanging="360"/>
      </w:pPr>
    </w:lvl>
    <w:lvl w:ilvl="4" w:tplc="01E4C59A" w:tentative="1">
      <w:start w:val="1"/>
      <w:numFmt w:val="lowerLetter"/>
      <w:lvlText w:val="%5."/>
      <w:lvlJc w:val="left"/>
      <w:pPr>
        <w:ind w:left="3600" w:hanging="360"/>
      </w:pPr>
    </w:lvl>
    <w:lvl w:ilvl="5" w:tplc="1D742FF0" w:tentative="1">
      <w:start w:val="1"/>
      <w:numFmt w:val="lowerRoman"/>
      <w:lvlText w:val="%6."/>
      <w:lvlJc w:val="right"/>
      <w:pPr>
        <w:ind w:left="4320" w:hanging="180"/>
      </w:pPr>
    </w:lvl>
    <w:lvl w:ilvl="6" w:tplc="8C60BC3E" w:tentative="1">
      <w:start w:val="1"/>
      <w:numFmt w:val="decimal"/>
      <w:lvlText w:val="%7."/>
      <w:lvlJc w:val="left"/>
      <w:pPr>
        <w:ind w:left="5040" w:hanging="360"/>
      </w:pPr>
    </w:lvl>
    <w:lvl w:ilvl="7" w:tplc="2FB0BAB0" w:tentative="1">
      <w:start w:val="1"/>
      <w:numFmt w:val="lowerLetter"/>
      <w:lvlText w:val="%8."/>
      <w:lvlJc w:val="left"/>
      <w:pPr>
        <w:ind w:left="5760" w:hanging="360"/>
      </w:pPr>
    </w:lvl>
    <w:lvl w:ilvl="8" w:tplc="7C0E9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52669"/>
    <w:multiLevelType w:val="hybridMultilevel"/>
    <w:tmpl w:val="15A6CAB8"/>
    <w:lvl w:ilvl="0" w:tplc="3B92B51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BE4042CA" w:tentative="1">
      <w:start w:val="1"/>
      <w:numFmt w:val="lowerLetter"/>
      <w:lvlText w:val="%2."/>
      <w:lvlJc w:val="left"/>
      <w:pPr>
        <w:ind w:left="1080" w:hanging="360"/>
      </w:pPr>
    </w:lvl>
    <w:lvl w:ilvl="2" w:tplc="C9F69DF8" w:tentative="1">
      <w:start w:val="1"/>
      <w:numFmt w:val="lowerRoman"/>
      <w:lvlText w:val="%3."/>
      <w:lvlJc w:val="right"/>
      <w:pPr>
        <w:ind w:left="1800" w:hanging="180"/>
      </w:pPr>
    </w:lvl>
    <w:lvl w:ilvl="3" w:tplc="C3203178" w:tentative="1">
      <w:start w:val="1"/>
      <w:numFmt w:val="decimal"/>
      <w:lvlText w:val="%4."/>
      <w:lvlJc w:val="left"/>
      <w:pPr>
        <w:ind w:left="2520" w:hanging="360"/>
      </w:pPr>
    </w:lvl>
    <w:lvl w:ilvl="4" w:tplc="598E2814" w:tentative="1">
      <w:start w:val="1"/>
      <w:numFmt w:val="lowerLetter"/>
      <w:lvlText w:val="%5."/>
      <w:lvlJc w:val="left"/>
      <w:pPr>
        <w:ind w:left="3240" w:hanging="360"/>
      </w:pPr>
    </w:lvl>
    <w:lvl w:ilvl="5" w:tplc="ECA635C8" w:tentative="1">
      <w:start w:val="1"/>
      <w:numFmt w:val="lowerRoman"/>
      <w:lvlText w:val="%6."/>
      <w:lvlJc w:val="right"/>
      <w:pPr>
        <w:ind w:left="3960" w:hanging="180"/>
      </w:pPr>
    </w:lvl>
    <w:lvl w:ilvl="6" w:tplc="A1E699E4" w:tentative="1">
      <w:start w:val="1"/>
      <w:numFmt w:val="decimal"/>
      <w:lvlText w:val="%7."/>
      <w:lvlJc w:val="left"/>
      <w:pPr>
        <w:ind w:left="4680" w:hanging="360"/>
      </w:pPr>
    </w:lvl>
    <w:lvl w:ilvl="7" w:tplc="4FE21360" w:tentative="1">
      <w:start w:val="1"/>
      <w:numFmt w:val="lowerLetter"/>
      <w:lvlText w:val="%8."/>
      <w:lvlJc w:val="left"/>
      <w:pPr>
        <w:ind w:left="5400" w:hanging="360"/>
      </w:pPr>
    </w:lvl>
    <w:lvl w:ilvl="8" w:tplc="CFB274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BD27D0"/>
    <w:multiLevelType w:val="hybridMultilevel"/>
    <w:tmpl w:val="1F52DD96"/>
    <w:lvl w:ilvl="0" w:tplc="11AAF96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7D7A13D8" w:tentative="1">
      <w:start w:val="1"/>
      <w:numFmt w:val="lowerLetter"/>
      <w:lvlText w:val="%2."/>
      <w:lvlJc w:val="left"/>
      <w:pPr>
        <w:ind w:left="1080" w:hanging="360"/>
      </w:pPr>
    </w:lvl>
    <w:lvl w:ilvl="2" w:tplc="98B03D28" w:tentative="1">
      <w:start w:val="1"/>
      <w:numFmt w:val="lowerRoman"/>
      <w:lvlText w:val="%3."/>
      <w:lvlJc w:val="right"/>
      <w:pPr>
        <w:ind w:left="1800" w:hanging="180"/>
      </w:pPr>
    </w:lvl>
    <w:lvl w:ilvl="3" w:tplc="806E91DA" w:tentative="1">
      <w:start w:val="1"/>
      <w:numFmt w:val="decimal"/>
      <w:lvlText w:val="%4."/>
      <w:lvlJc w:val="left"/>
      <w:pPr>
        <w:ind w:left="2520" w:hanging="360"/>
      </w:pPr>
    </w:lvl>
    <w:lvl w:ilvl="4" w:tplc="C7D23DAE" w:tentative="1">
      <w:start w:val="1"/>
      <w:numFmt w:val="lowerLetter"/>
      <w:lvlText w:val="%5."/>
      <w:lvlJc w:val="left"/>
      <w:pPr>
        <w:ind w:left="3240" w:hanging="360"/>
      </w:pPr>
    </w:lvl>
    <w:lvl w:ilvl="5" w:tplc="CE38D990" w:tentative="1">
      <w:start w:val="1"/>
      <w:numFmt w:val="lowerRoman"/>
      <w:lvlText w:val="%6."/>
      <w:lvlJc w:val="right"/>
      <w:pPr>
        <w:ind w:left="3960" w:hanging="180"/>
      </w:pPr>
    </w:lvl>
    <w:lvl w:ilvl="6" w:tplc="ED38077E" w:tentative="1">
      <w:start w:val="1"/>
      <w:numFmt w:val="decimal"/>
      <w:lvlText w:val="%7."/>
      <w:lvlJc w:val="left"/>
      <w:pPr>
        <w:ind w:left="4680" w:hanging="360"/>
      </w:pPr>
    </w:lvl>
    <w:lvl w:ilvl="7" w:tplc="D58855CA" w:tentative="1">
      <w:start w:val="1"/>
      <w:numFmt w:val="lowerLetter"/>
      <w:lvlText w:val="%8."/>
      <w:lvlJc w:val="left"/>
      <w:pPr>
        <w:ind w:left="5400" w:hanging="360"/>
      </w:pPr>
    </w:lvl>
    <w:lvl w:ilvl="8" w:tplc="8F2C1E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CE49FF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AFD2964"/>
    <w:multiLevelType w:val="hybridMultilevel"/>
    <w:tmpl w:val="E738E802"/>
    <w:lvl w:ilvl="0" w:tplc="51604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C3E8CA4" w:tentative="1">
      <w:start w:val="1"/>
      <w:numFmt w:val="lowerLetter"/>
      <w:lvlText w:val="%2."/>
      <w:lvlJc w:val="left"/>
      <w:pPr>
        <w:ind w:left="1440" w:hanging="360"/>
      </w:pPr>
    </w:lvl>
    <w:lvl w:ilvl="2" w:tplc="08D42DCC" w:tentative="1">
      <w:start w:val="1"/>
      <w:numFmt w:val="lowerRoman"/>
      <w:lvlText w:val="%3."/>
      <w:lvlJc w:val="right"/>
      <w:pPr>
        <w:ind w:left="2160" w:hanging="180"/>
      </w:pPr>
    </w:lvl>
    <w:lvl w:ilvl="3" w:tplc="4D6C9458" w:tentative="1">
      <w:start w:val="1"/>
      <w:numFmt w:val="decimal"/>
      <w:lvlText w:val="%4."/>
      <w:lvlJc w:val="left"/>
      <w:pPr>
        <w:ind w:left="2880" w:hanging="360"/>
      </w:pPr>
    </w:lvl>
    <w:lvl w:ilvl="4" w:tplc="760C17EE" w:tentative="1">
      <w:start w:val="1"/>
      <w:numFmt w:val="lowerLetter"/>
      <w:lvlText w:val="%5."/>
      <w:lvlJc w:val="left"/>
      <w:pPr>
        <w:ind w:left="3600" w:hanging="360"/>
      </w:pPr>
    </w:lvl>
    <w:lvl w:ilvl="5" w:tplc="79BEF28C" w:tentative="1">
      <w:start w:val="1"/>
      <w:numFmt w:val="lowerRoman"/>
      <w:lvlText w:val="%6."/>
      <w:lvlJc w:val="right"/>
      <w:pPr>
        <w:ind w:left="4320" w:hanging="180"/>
      </w:pPr>
    </w:lvl>
    <w:lvl w:ilvl="6" w:tplc="7354F05C" w:tentative="1">
      <w:start w:val="1"/>
      <w:numFmt w:val="decimal"/>
      <w:lvlText w:val="%7."/>
      <w:lvlJc w:val="left"/>
      <w:pPr>
        <w:ind w:left="5040" w:hanging="360"/>
      </w:pPr>
    </w:lvl>
    <w:lvl w:ilvl="7" w:tplc="7F9881D6" w:tentative="1">
      <w:start w:val="1"/>
      <w:numFmt w:val="lowerLetter"/>
      <w:lvlText w:val="%8."/>
      <w:lvlJc w:val="left"/>
      <w:pPr>
        <w:ind w:left="5760" w:hanging="360"/>
      </w:pPr>
    </w:lvl>
    <w:lvl w:ilvl="8" w:tplc="76C877D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05701">
    <w:abstractNumId w:val="5"/>
  </w:num>
  <w:num w:numId="2" w16cid:durableId="306934830">
    <w:abstractNumId w:val="0"/>
  </w:num>
  <w:num w:numId="3" w16cid:durableId="1658924599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1(%2)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" w16cid:durableId="1319578863">
    <w:abstractNumId w:val="1"/>
  </w:num>
  <w:num w:numId="5" w16cid:durableId="818694180">
    <w:abstractNumId w:val="6"/>
  </w:num>
  <w:num w:numId="6" w16cid:durableId="1270968611">
    <w:abstractNumId w:val="2"/>
  </w:num>
  <w:num w:numId="7" w16cid:durableId="1235625576">
    <w:abstractNumId w:val="3"/>
  </w:num>
  <w:num w:numId="8" w16cid:durableId="890650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A8"/>
    <w:rsid w:val="00002719"/>
    <w:rsid w:val="00044FB9"/>
    <w:rsid w:val="000475CC"/>
    <w:rsid w:val="000955FB"/>
    <w:rsid w:val="000E24D7"/>
    <w:rsid w:val="00136344"/>
    <w:rsid w:val="00192EE0"/>
    <w:rsid w:val="001A0658"/>
    <w:rsid w:val="00245237"/>
    <w:rsid w:val="0026742E"/>
    <w:rsid w:val="00273AE7"/>
    <w:rsid w:val="002A44DA"/>
    <w:rsid w:val="002B01EB"/>
    <w:rsid w:val="002B7F8E"/>
    <w:rsid w:val="003032CE"/>
    <w:rsid w:val="003209AD"/>
    <w:rsid w:val="003254F5"/>
    <w:rsid w:val="0036387E"/>
    <w:rsid w:val="0036487C"/>
    <w:rsid w:val="003673AB"/>
    <w:rsid w:val="00386922"/>
    <w:rsid w:val="003A0AFD"/>
    <w:rsid w:val="003E73EC"/>
    <w:rsid w:val="00401E99"/>
    <w:rsid w:val="0040331B"/>
    <w:rsid w:val="004227B7"/>
    <w:rsid w:val="0047244C"/>
    <w:rsid w:val="0048685D"/>
    <w:rsid w:val="004B4931"/>
    <w:rsid w:val="004D21A8"/>
    <w:rsid w:val="004D419B"/>
    <w:rsid w:val="004E138E"/>
    <w:rsid w:val="004F0E44"/>
    <w:rsid w:val="005046A8"/>
    <w:rsid w:val="005058AE"/>
    <w:rsid w:val="005A350B"/>
    <w:rsid w:val="0060036F"/>
    <w:rsid w:val="00626F7D"/>
    <w:rsid w:val="0063105A"/>
    <w:rsid w:val="00655131"/>
    <w:rsid w:val="00670BC1"/>
    <w:rsid w:val="00673CA9"/>
    <w:rsid w:val="006D4D2A"/>
    <w:rsid w:val="006F0238"/>
    <w:rsid w:val="00701D64"/>
    <w:rsid w:val="00707981"/>
    <w:rsid w:val="00777E5E"/>
    <w:rsid w:val="00782B20"/>
    <w:rsid w:val="007C3C64"/>
    <w:rsid w:val="00804D11"/>
    <w:rsid w:val="00805829"/>
    <w:rsid w:val="00815C6C"/>
    <w:rsid w:val="00841033"/>
    <w:rsid w:val="00844118"/>
    <w:rsid w:val="00846540"/>
    <w:rsid w:val="00864579"/>
    <w:rsid w:val="0088697C"/>
    <w:rsid w:val="008B1D24"/>
    <w:rsid w:val="008E3BC3"/>
    <w:rsid w:val="00911715"/>
    <w:rsid w:val="009F68C6"/>
    <w:rsid w:val="00A24E12"/>
    <w:rsid w:val="00A2745C"/>
    <w:rsid w:val="00A71CC6"/>
    <w:rsid w:val="00AF3C5C"/>
    <w:rsid w:val="00B51A14"/>
    <w:rsid w:val="00B52950"/>
    <w:rsid w:val="00BA5465"/>
    <w:rsid w:val="00BC6390"/>
    <w:rsid w:val="00C025D5"/>
    <w:rsid w:val="00C45BF7"/>
    <w:rsid w:val="00C520A5"/>
    <w:rsid w:val="00C756A1"/>
    <w:rsid w:val="00CA507C"/>
    <w:rsid w:val="00CE2C12"/>
    <w:rsid w:val="00CF7BC0"/>
    <w:rsid w:val="00D002CC"/>
    <w:rsid w:val="00D03636"/>
    <w:rsid w:val="00D50DF0"/>
    <w:rsid w:val="00D648E4"/>
    <w:rsid w:val="00D74129"/>
    <w:rsid w:val="00D7521D"/>
    <w:rsid w:val="00D7557F"/>
    <w:rsid w:val="00D953E0"/>
    <w:rsid w:val="00DA6F1A"/>
    <w:rsid w:val="00DC5683"/>
    <w:rsid w:val="00DF043B"/>
    <w:rsid w:val="00DF2594"/>
    <w:rsid w:val="00E16E4D"/>
    <w:rsid w:val="00E20250"/>
    <w:rsid w:val="00E5514B"/>
    <w:rsid w:val="00EC2716"/>
    <w:rsid w:val="00EF0E1B"/>
    <w:rsid w:val="00F30F65"/>
    <w:rsid w:val="00FA6C1E"/>
    <w:rsid w:val="00FB0AA1"/>
    <w:rsid w:val="00FB0C96"/>
    <w:rsid w:val="00FC04A2"/>
    <w:rsid w:val="00FD59A4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1C753"/>
  <w15:chartTrackingRefBased/>
  <w15:docId w15:val="{98C1E36D-563D-4F05-AB9D-82EDC562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18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  <w:link w:val="BodyTextChar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3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D21A8"/>
    <w:rPr>
      <w:rFonts w:ascii="Arial" w:hAnsi="Arial"/>
      <w:bCs/>
      <w:sz w:val="24"/>
      <w:szCs w:val="24"/>
      <w:lang w:eastAsia="en-US"/>
    </w:rPr>
  </w:style>
  <w:style w:type="paragraph" w:customStyle="1" w:styleId="H1NoNumb">
    <w:name w:val="H1 No Numb"/>
    <w:basedOn w:val="Heading1"/>
    <w:next w:val="BodyText"/>
    <w:link w:val="H1NoNumbChar"/>
    <w:qFormat/>
    <w:rsid w:val="004D21A8"/>
    <w:pPr>
      <w:keepLines w:val="0"/>
      <w:pageBreakBefore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Helvetica-Light"/>
      <w:b/>
      <w:color w:val="2C5A77"/>
      <w:sz w:val="40"/>
      <w:szCs w:val="28"/>
      <w:lang w:eastAsia="en-GB"/>
    </w:rPr>
  </w:style>
  <w:style w:type="character" w:customStyle="1" w:styleId="H1NoNumbChar">
    <w:name w:val="H1 No Numb Char"/>
    <w:link w:val="H1NoNumb"/>
    <w:rsid w:val="004D21A8"/>
    <w:rPr>
      <w:rFonts w:ascii="Arial" w:hAnsi="Arial" w:cs="Helvetica-Light"/>
      <w:b/>
      <w:bCs/>
      <w:color w:val="2C5A77"/>
      <w:sz w:val="40"/>
      <w:szCs w:val="28"/>
    </w:rPr>
  </w:style>
  <w:style w:type="paragraph" w:customStyle="1" w:styleId="H2NoNumb">
    <w:name w:val="H2 No Numb"/>
    <w:basedOn w:val="Heading2"/>
    <w:next w:val="BodyText"/>
    <w:link w:val="H2NoNumbChar"/>
    <w:qFormat/>
    <w:rsid w:val="004D21A8"/>
    <w:pPr>
      <w:spacing w:before="240" w:after="40"/>
    </w:pPr>
    <w:rPr>
      <w:rFonts w:ascii="Arial" w:eastAsia="Times New Roman" w:hAnsi="Arial" w:cs="Helvetica-Light"/>
      <w:b/>
      <w:color w:val="000000"/>
      <w:sz w:val="32"/>
      <w:lang w:eastAsia="en-GB"/>
    </w:rPr>
  </w:style>
  <w:style w:type="character" w:customStyle="1" w:styleId="H2NoNumbChar">
    <w:name w:val="H2 No Numb Char"/>
    <w:link w:val="H2NoNumb"/>
    <w:rsid w:val="004D21A8"/>
    <w:rPr>
      <w:rFonts w:ascii="Arial" w:hAnsi="Arial" w:cs="Helvetica-Light"/>
      <w:b/>
      <w:bCs/>
      <w:color w:val="000000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21A8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1A8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A507C"/>
    <w:pPr>
      <w:ind w:left="720"/>
      <w:contextualSpacing/>
    </w:pPr>
  </w:style>
  <w:style w:type="paragraph" w:styleId="Revision">
    <w:name w:val="Revision"/>
    <w:hidden/>
    <w:uiPriority w:val="99"/>
    <w:semiHidden/>
    <w:rsid w:val="005046A8"/>
    <w:rPr>
      <w:rFonts w:ascii="Arial" w:hAnsi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ker001\OneDrive%20-%20Lancashire%20County%20Council\Desktop\New%20folder%20(2)\$$LCC%20Cabinet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64EE1-B264-7F42-BCEF-F338AF8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$$LCC Cabinet Minutes.dotx</Template>
  <TotalTime>12</TotalTime>
  <Pages>4</Pages>
  <Words>784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Cabinet or Cabinet Committee</vt:lpstr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Cabinet or Cabinet Committee</dc:title>
  <dc:creator>Alker, Craig</dc:creator>
  <dc:description>22.1.13</dc:description>
  <cp:lastModifiedBy>Gorman, Dave</cp:lastModifiedBy>
  <cp:revision>5</cp:revision>
  <cp:lastPrinted>2002-06-26T11:27:00Z</cp:lastPrinted>
  <dcterms:created xsi:type="dcterms:W3CDTF">2024-02-13T14:47:00Z</dcterms:created>
  <dcterms:modified xsi:type="dcterms:W3CDTF">2024-02-16T10:30:00Z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irPresentList">
    <vt:lpwstr>ChairPresentList</vt:lpwstr>
  </property>
  <property fmtid="{D5CDD505-2E9C-101B-9397-08002B2CF9AE}" pid="3" name="CommitteeName">
    <vt:lpwstr>Full Council</vt:lpwstr>
  </property>
  <property fmtid="{D5CDD505-2E9C-101B-9397-08002B2CF9AE}" pid="4" name="CountyCouncillorsPresentList">
    <vt:lpwstr>CountyCouncillorsPresentList</vt:lpwstr>
  </property>
  <property fmtid="{D5CDD505-2E9C-101B-9397-08002B2CF9AE}" pid="5" name="IssueExemptionClassTitle">
    <vt:lpwstr>Part I</vt:lpwstr>
  </property>
  <property fmtid="{D5CDD505-2E9C-101B-9397-08002B2CF9AE}" pid="6" name="IssueTitle">
    <vt:lpwstr>The Audit, Risk and Governance Committee</vt:lpwstr>
  </property>
  <property fmtid="{D5CDD505-2E9C-101B-9397-08002B2CF9AE}" pid="7" name="LeadDirector">
    <vt:lpwstr>Director of Law and Governance</vt:lpwstr>
  </property>
  <property fmtid="{D5CDD505-2E9C-101B-9397-08002B2CF9AE}" pid="8" name="LeadOfficer">
    <vt:lpwstr>Hannah Race</vt:lpwstr>
  </property>
  <property fmtid="{D5CDD505-2E9C-101B-9397-08002B2CF9AE}" pid="9" name="LeadOfficerEmail">
    <vt:lpwstr>Hannah.Race@lancashire.gov.uk</vt:lpwstr>
  </property>
  <property fmtid="{D5CDD505-2E9C-101B-9397-08002B2CF9AE}" pid="10" name="LeadOfficerTel">
    <vt:lpwstr/>
  </property>
  <property fmtid="{D5CDD505-2E9C-101B-9397-08002B2CF9AE}" pid="11" name="MeetingDate">
    <vt:lpwstr>Thursday, 14 March 2024</vt:lpwstr>
  </property>
  <property fmtid="{D5CDD505-2E9C-101B-9397-08002B2CF9AE}" pid="12" name="MeetingDateLegal">
    <vt:lpwstr>MeetingDateLegal</vt:lpwstr>
  </property>
  <property fmtid="{D5CDD505-2E9C-101B-9397-08002B2CF9AE}" pid="13" name="MeetingLocation">
    <vt:lpwstr>MeetingLocation</vt:lpwstr>
  </property>
  <property fmtid="{D5CDD505-2E9C-101B-9397-08002B2CF9AE}" pid="14" name="MeetingTime">
    <vt:lpwstr>1.00 pm</vt:lpwstr>
  </property>
  <property fmtid="{D5CDD505-2E9C-101B-9397-08002B2CF9AE}" pid="15" name="priority">
    <vt:lpwstr>N/A;</vt:lpwstr>
  </property>
  <property fmtid="{D5CDD505-2E9C-101B-9397-08002B2CF9AE}" pid="16" name="StrictMembersPresentRows">
    <vt:lpwstr>StrictMembersPresentRows</vt:lpwstr>
  </property>
  <property fmtid="{D5CDD505-2E9C-101B-9397-08002B2CF9AE}" pid="17" name="Wards">
    <vt:lpwstr>N/A;</vt:lpwstr>
  </property>
</Properties>
</file>